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39E57" w14:textId="77777777" w:rsidR="00F842D2" w:rsidRDefault="00F842D2" w:rsidP="001419E8">
      <w:pPr>
        <w:jc w:val="both"/>
      </w:pPr>
    </w:p>
    <w:p w14:paraId="16EDF3E7" w14:textId="41B296F9" w:rsidR="00ED4579" w:rsidRDefault="00ED4579" w:rsidP="00980576">
      <w:pPr>
        <w:jc w:val="center"/>
        <w:rPr>
          <w:b/>
          <w:sz w:val="44"/>
        </w:rPr>
      </w:pPr>
    </w:p>
    <w:p w14:paraId="7B56A5D2" w14:textId="7CBF263A" w:rsidR="00ED4579" w:rsidRPr="00ED4579" w:rsidRDefault="00ED4579" w:rsidP="00980576">
      <w:pPr>
        <w:jc w:val="center"/>
        <w:rPr>
          <w:b/>
          <w:sz w:val="44"/>
        </w:rPr>
      </w:pPr>
      <w:r>
        <w:rPr>
          <w:b/>
          <w:noProof/>
          <w:sz w:val="44"/>
        </w:rPr>
        <w:drawing>
          <wp:inline distT="0" distB="0" distL="0" distR="0" wp14:anchorId="4C2A6E43" wp14:editId="098B0991">
            <wp:extent cx="6388635" cy="450183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ua_pos (2).jpg"/>
                    <pic:cNvPicPr/>
                  </pic:nvPicPr>
                  <pic:blipFill>
                    <a:blip r:embed="rId8">
                      <a:extLst>
                        <a:ext uri="{28A0092B-C50C-407E-A947-70E740481C1C}">
                          <a14:useLocalDpi xmlns:a14="http://schemas.microsoft.com/office/drawing/2010/main" val="0"/>
                        </a:ext>
                      </a:extLst>
                    </a:blip>
                    <a:stretch>
                      <a:fillRect/>
                    </a:stretch>
                  </pic:blipFill>
                  <pic:spPr>
                    <a:xfrm>
                      <a:off x="0" y="0"/>
                      <a:ext cx="6413306" cy="4519221"/>
                    </a:xfrm>
                    <a:prstGeom prst="rect">
                      <a:avLst/>
                    </a:prstGeom>
                  </pic:spPr>
                </pic:pic>
              </a:graphicData>
            </a:graphic>
          </wp:inline>
        </w:drawing>
      </w:r>
    </w:p>
    <w:p w14:paraId="36A2E480" w14:textId="2128E99E" w:rsidR="00E12EEE" w:rsidRPr="003E28CF" w:rsidRDefault="007F3869" w:rsidP="00ED4579">
      <w:pPr>
        <w:jc w:val="center"/>
        <w:rPr>
          <w:b/>
          <w:sz w:val="96"/>
        </w:rPr>
      </w:pPr>
      <w:r>
        <w:rPr>
          <w:b/>
          <w:sz w:val="96"/>
        </w:rPr>
        <w:t>Expenses Policy</w:t>
      </w:r>
    </w:p>
    <w:p w14:paraId="10105C0C" w14:textId="11E75950" w:rsidR="0084159D" w:rsidRDefault="007F3869" w:rsidP="0084159D">
      <w:pPr>
        <w:jc w:val="center"/>
        <w:rPr>
          <w:rFonts w:ascii="Arial" w:hAnsi="Arial" w:cs="Arial"/>
          <w:sz w:val="19"/>
          <w:szCs w:val="19"/>
        </w:rPr>
      </w:pPr>
      <w:r>
        <w:rPr>
          <w:rFonts w:ascii="Arial" w:hAnsi="Arial" w:cs="Arial"/>
          <w:sz w:val="19"/>
          <w:szCs w:val="19"/>
        </w:rPr>
        <w:t>Revision 2.</w:t>
      </w:r>
      <w:r w:rsidR="00F32448">
        <w:rPr>
          <w:rFonts w:ascii="Arial" w:hAnsi="Arial" w:cs="Arial"/>
          <w:sz w:val="19"/>
          <w:szCs w:val="19"/>
        </w:rPr>
        <w:t>4</w:t>
      </w:r>
    </w:p>
    <w:p w14:paraId="0E473C29" w14:textId="77777777" w:rsidR="00F842D2" w:rsidRDefault="00F842D2" w:rsidP="001419E8">
      <w:pPr>
        <w:jc w:val="both"/>
      </w:pPr>
    </w:p>
    <w:p w14:paraId="50C18537" w14:textId="77777777" w:rsidR="00F842D2" w:rsidRDefault="00F842D2" w:rsidP="001419E8">
      <w:pPr>
        <w:jc w:val="both"/>
      </w:pPr>
    </w:p>
    <w:p w14:paraId="14F4D6E1" w14:textId="77777777" w:rsidR="00F842D2" w:rsidRDefault="00F842D2" w:rsidP="001419E8">
      <w:pPr>
        <w:jc w:val="both"/>
      </w:pPr>
    </w:p>
    <w:p w14:paraId="3F756FFF" w14:textId="77777777" w:rsidR="00F842D2" w:rsidRDefault="00F842D2" w:rsidP="001419E8">
      <w:pPr>
        <w:jc w:val="both"/>
      </w:pPr>
    </w:p>
    <w:p w14:paraId="0913D927" w14:textId="30AC9E2D" w:rsidR="00F842D2" w:rsidRDefault="00F842D2" w:rsidP="001419E8">
      <w:pPr>
        <w:jc w:val="both"/>
      </w:pPr>
    </w:p>
    <w:p w14:paraId="693CF2CC" w14:textId="77777777" w:rsidR="0084159D" w:rsidRDefault="0084159D" w:rsidP="001419E8">
      <w:pPr>
        <w:jc w:val="both"/>
      </w:pPr>
    </w:p>
    <w:p w14:paraId="6184DDA5" w14:textId="77777777" w:rsidR="00F842D2" w:rsidRDefault="00F842D2" w:rsidP="001419E8">
      <w:pPr>
        <w:jc w:val="both"/>
      </w:pPr>
    </w:p>
    <w:p w14:paraId="7796655D" w14:textId="77777777" w:rsidR="007D2579" w:rsidRDefault="007D2579" w:rsidP="001419E8">
      <w:pPr>
        <w:jc w:val="both"/>
        <w:sectPr w:rsidR="007D2579" w:rsidSect="0002136C">
          <w:headerReference w:type="default" r:id="rId9"/>
          <w:footerReference w:type="default" r:id="rId10"/>
          <w:footerReference w:type="first" r:id="rId11"/>
          <w:pgSz w:w="11906" w:h="16838"/>
          <w:pgMar w:top="1560" w:right="849" w:bottom="1440" w:left="1440" w:header="708" w:footer="708" w:gutter="0"/>
          <w:cols w:space="708"/>
          <w:docGrid w:linePitch="360"/>
        </w:sectPr>
      </w:pPr>
    </w:p>
    <w:p w14:paraId="4A71BF6B" w14:textId="3BB59002" w:rsidR="007F3869" w:rsidRPr="005663DB" w:rsidRDefault="007F3869" w:rsidP="007F3869">
      <w:pPr>
        <w:jc w:val="both"/>
      </w:pPr>
      <w:r w:rsidRPr="005663DB">
        <w:lastRenderedPageBreak/>
        <w:t>This policy applies to anyone who is appointed by the WHUA Executive Committee (WHUA), European Hockey Federation (EHF), or the International Hockey Federation (FIH) to an event.  It covers those appointed as umpire / official / coach or mentor and includes those running training events except for Level 1 courses</w:t>
      </w:r>
      <w:r>
        <w:t xml:space="preserve"> (see note 1 below)</w:t>
      </w:r>
    </w:p>
    <w:p w14:paraId="08C93BAC" w14:textId="77777777" w:rsidR="007F3869" w:rsidRPr="005663DB" w:rsidRDefault="007F3869" w:rsidP="007F3869">
      <w:pPr>
        <w:pStyle w:val="ListParagraph"/>
        <w:numPr>
          <w:ilvl w:val="0"/>
          <w:numId w:val="13"/>
        </w:numPr>
        <w:jc w:val="both"/>
      </w:pPr>
      <w:r w:rsidRPr="005663DB">
        <w:t>Domestic Appointments (See Note</w:t>
      </w:r>
      <w:r>
        <w:t xml:space="preserve"> 2</w:t>
      </w:r>
      <w:r w:rsidRPr="005663DB">
        <w:t xml:space="preserve"> below)</w:t>
      </w:r>
    </w:p>
    <w:p w14:paraId="2B02FA1F" w14:textId="77777777" w:rsidR="007F3869" w:rsidRPr="005663DB" w:rsidRDefault="007F3869" w:rsidP="007F3869">
      <w:pPr>
        <w:pStyle w:val="ListParagraph"/>
        <w:numPr>
          <w:ilvl w:val="1"/>
          <w:numId w:val="13"/>
        </w:numPr>
        <w:jc w:val="both"/>
      </w:pPr>
      <w:r w:rsidRPr="005663DB">
        <w:t>Any umpire, official or coach who has been appointed by the WHUA to a tournament or match within Wales may claim the following:</w:t>
      </w:r>
    </w:p>
    <w:p w14:paraId="2C42396D" w14:textId="77777777" w:rsidR="007F3869" w:rsidRPr="005663DB" w:rsidRDefault="007F3869" w:rsidP="007F3869">
      <w:pPr>
        <w:pStyle w:val="ListParagraph"/>
        <w:numPr>
          <w:ilvl w:val="2"/>
          <w:numId w:val="13"/>
        </w:numPr>
        <w:jc w:val="both"/>
      </w:pPr>
      <w:r w:rsidRPr="005663DB">
        <w:t xml:space="preserve">Petrol @ 30p per mile </w:t>
      </w:r>
    </w:p>
    <w:p w14:paraId="03A1CCFD" w14:textId="77777777" w:rsidR="007F3869" w:rsidRPr="005663DB" w:rsidRDefault="007F3869" w:rsidP="007F3869">
      <w:pPr>
        <w:pStyle w:val="ListParagraph"/>
        <w:numPr>
          <w:ilvl w:val="2"/>
          <w:numId w:val="13"/>
        </w:numPr>
        <w:jc w:val="both"/>
      </w:pPr>
      <w:r w:rsidRPr="005663DB">
        <w:t>Additional 4p per official traveller per mile</w:t>
      </w:r>
    </w:p>
    <w:p w14:paraId="7141B6D6" w14:textId="77777777" w:rsidR="007F3869" w:rsidRPr="005663DB" w:rsidRDefault="007F3869" w:rsidP="007F3869">
      <w:pPr>
        <w:pStyle w:val="ListParagraph"/>
        <w:numPr>
          <w:ilvl w:val="2"/>
          <w:numId w:val="13"/>
        </w:numPr>
        <w:jc w:val="both"/>
      </w:pPr>
      <w:r w:rsidRPr="005663DB">
        <w:t>Accommodation e</w:t>
      </w:r>
      <w:r>
        <w:t>xpenses up to a maximum of £70 per night.</w:t>
      </w:r>
    </w:p>
    <w:p w14:paraId="0110210A" w14:textId="640BBF0A" w:rsidR="007F3869" w:rsidRPr="005663DB" w:rsidRDefault="007F3869" w:rsidP="007F3869">
      <w:pPr>
        <w:pStyle w:val="ListParagraph"/>
        <w:numPr>
          <w:ilvl w:val="2"/>
          <w:numId w:val="13"/>
        </w:numPr>
        <w:jc w:val="both"/>
      </w:pPr>
      <w:r>
        <w:t xml:space="preserve">If fulfilment of the appointment takes over 6 </w:t>
      </w:r>
      <w:r w:rsidR="001262BC">
        <w:t>hours,</w:t>
      </w:r>
      <w:r>
        <w:t xml:space="preserve"> then up to £20</w:t>
      </w:r>
      <w:r w:rsidR="00F32448">
        <w:t>*</w:t>
      </w:r>
      <w:r w:rsidRPr="005663DB">
        <w:t xml:space="preserve"> per day </w:t>
      </w:r>
      <w:r w:rsidR="00116BB6" w:rsidRPr="005663DB">
        <w:t>su</w:t>
      </w:r>
      <w:r w:rsidR="00116BB6">
        <w:t xml:space="preserve">stenance </w:t>
      </w:r>
      <w:r>
        <w:t>may be claimed.</w:t>
      </w:r>
    </w:p>
    <w:p w14:paraId="62D02252" w14:textId="626A9015" w:rsidR="007F3869" w:rsidRDefault="007F3869" w:rsidP="007F3869">
      <w:pPr>
        <w:pStyle w:val="ListParagraph"/>
        <w:numPr>
          <w:ilvl w:val="1"/>
          <w:numId w:val="13"/>
        </w:numPr>
        <w:jc w:val="both"/>
      </w:pPr>
      <w:r w:rsidRPr="005663DB">
        <w:t>Claim is made from leaving place of residence to the tournament / match venue and may include any tolls incurred along the way.</w:t>
      </w:r>
    </w:p>
    <w:p w14:paraId="2D266EA4" w14:textId="732CD916" w:rsidR="00F32448" w:rsidRPr="00F32448" w:rsidRDefault="00F32448" w:rsidP="00F32448">
      <w:pPr>
        <w:ind w:left="1418"/>
        <w:jc w:val="both"/>
        <w:rPr>
          <w:sz w:val="18"/>
        </w:rPr>
      </w:pPr>
      <w:r w:rsidRPr="00F32448">
        <w:rPr>
          <w:sz w:val="18"/>
        </w:rPr>
        <w:t>*Note – in the event where some of the daily food costs are</w:t>
      </w:r>
      <w:bookmarkStart w:id="0" w:name="_GoBack"/>
      <w:bookmarkEnd w:id="0"/>
      <w:r w:rsidRPr="00F32448">
        <w:rPr>
          <w:sz w:val="18"/>
        </w:rPr>
        <w:t xml:space="preserve"> covered by the organising body this may vary.  </w:t>
      </w:r>
    </w:p>
    <w:p w14:paraId="424EBF99" w14:textId="77777777" w:rsidR="007F3869" w:rsidRPr="005663DB" w:rsidRDefault="007F3869" w:rsidP="007F3869">
      <w:pPr>
        <w:pStyle w:val="ListParagraph"/>
        <w:ind w:left="1440"/>
        <w:jc w:val="both"/>
      </w:pPr>
    </w:p>
    <w:p w14:paraId="65C18BA4" w14:textId="77777777" w:rsidR="007F3869" w:rsidRDefault="007F3869" w:rsidP="007F3869">
      <w:pPr>
        <w:pStyle w:val="ListParagraph"/>
        <w:numPr>
          <w:ilvl w:val="0"/>
          <w:numId w:val="13"/>
        </w:numPr>
        <w:jc w:val="both"/>
      </w:pPr>
      <w:r>
        <w:t xml:space="preserve">International Appointments </w:t>
      </w:r>
    </w:p>
    <w:p w14:paraId="4D16EE71" w14:textId="77777777" w:rsidR="007F3869" w:rsidRDefault="007F3869" w:rsidP="007F3869">
      <w:pPr>
        <w:pStyle w:val="ListParagraph"/>
        <w:numPr>
          <w:ilvl w:val="1"/>
          <w:numId w:val="13"/>
        </w:numPr>
        <w:jc w:val="both"/>
      </w:pPr>
      <w:r>
        <w:t>Any umpire or official who has been appointed by the EHF / FIH to a tournament at a level where their expenses are not covered by the hosting body can claim the following:</w:t>
      </w:r>
    </w:p>
    <w:p w14:paraId="03C6330E" w14:textId="77777777" w:rsidR="007F3869" w:rsidRPr="005663DB" w:rsidRDefault="007F3869" w:rsidP="007F3869">
      <w:pPr>
        <w:pStyle w:val="ListParagraph"/>
        <w:numPr>
          <w:ilvl w:val="2"/>
          <w:numId w:val="13"/>
        </w:numPr>
        <w:jc w:val="both"/>
      </w:pPr>
      <w:r w:rsidRPr="005663DB">
        <w:t>Travel to Airport</w:t>
      </w:r>
    </w:p>
    <w:p w14:paraId="65A156EE" w14:textId="77777777" w:rsidR="007F3869" w:rsidRPr="005663DB" w:rsidRDefault="007F3869" w:rsidP="007F3869">
      <w:pPr>
        <w:pStyle w:val="ListParagraph"/>
        <w:numPr>
          <w:ilvl w:val="3"/>
          <w:numId w:val="13"/>
        </w:numPr>
        <w:jc w:val="both"/>
      </w:pPr>
      <w:r w:rsidRPr="005663DB">
        <w:t xml:space="preserve">Petrol @ 30p per mile </w:t>
      </w:r>
    </w:p>
    <w:p w14:paraId="7990E729" w14:textId="77777777" w:rsidR="007F3869" w:rsidRPr="005663DB" w:rsidRDefault="007F3869" w:rsidP="007F3869">
      <w:pPr>
        <w:pStyle w:val="ListParagraph"/>
        <w:numPr>
          <w:ilvl w:val="3"/>
          <w:numId w:val="13"/>
        </w:numPr>
        <w:jc w:val="both"/>
      </w:pPr>
      <w:r w:rsidRPr="005663DB">
        <w:t>Additional 4p per official traveller</w:t>
      </w:r>
      <w:r>
        <w:t xml:space="preserve"> or travellers</w:t>
      </w:r>
      <w:r w:rsidRPr="005663DB">
        <w:t xml:space="preserve"> per mile</w:t>
      </w:r>
    </w:p>
    <w:p w14:paraId="47011604" w14:textId="77777777" w:rsidR="007F3869" w:rsidRPr="005663DB" w:rsidRDefault="007F3869" w:rsidP="007F3869">
      <w:pPr>
        <w:pStyle w:val="ListParagraph"/>
        <w:numPr>
          <w:ilvl w:val="3"/>
          <w:numId w:val="13"/>
        </w:numPr>
        <w:jc w:val="both"/>
      </w:pPr>
      <w:r>
        <w:t xml:space="preserve">Entire standard class </w:t>
      </w:r>
      <w:r w:rsidRPr="005663DB">
        <w:t>Bus / train fare</w:t>
      </w:r>
    </w:p>
    <w:p w14:paraId="0FB676B1" w14:textId="77777777" w:rsidR="007F3869" w:rsidRDefault="007F3869" w:rsidP="007F3869">
      <w:pPr>
        <w:pStyle w:val="ListParagraph"/>
        <w:numPr>
          <w:ilvl w:val="2"/>
          <w:numId w:val="13"/>
        </w:numPr>
        <w:jc w:val="both"/>
      </w:pPr>
      <w:r>
        <w:t>International Travel (</w:t>
      </w:r>
      <w:proofErr w:type="spellStart"/>
      <w:r>
        <w:t>inc.</w:t>
      </w:r>
      <w:proofErr w:type="spellEnd"/>
      <w:r>
        <w:t xml:space="preserve"> flights, airport parking, Visas etc</w:t>
      </w:r>
      <w:proofErr w:type="gramStart"/>
      <w:r>
        <w:t>) :</w:t>
      </w:r>
      <w:proofErr w:type="gramEnd"/>
    </w:p>
    <w:p w14:paraId="65F4129B" w14:textId="77777777" w:rsidR="007F3869" w:rsidRDefault="007F3869" w:rsidP="007F3869">
      <w:pPr>
        <w:pStyle w:val="ListParagraph"/>
        <w:numPr>
          <w:ilvl w:val="3"/>
          <w:numId w:val="13"/>
        </w:numPr>
        <w:jc w:val="both"/>
      </w:pPr>
      <w:r>
        <w:t>50% of total costs</w:t>
      </w:r>
    </w:p>
    <w:p w14:paraId="5F7AA7E3" w14:textId="77777777" w:rsidR="007F3869" w:rsidRDefault="007F3869" w:rsidP="007F3869">
      <w:pPr>
        <w:pStyle w:val="ListParagraph"/>
        <w:numPr>
          <w:ilvl w:val="3"/>
          <w:numId w:val="13"/>
        </w:numPr>
        <w:jc w:val="both"/>
      </w:pPr>
      <w:r>
        <w:t>If internal flight (e.g. within UK) then 100% can be claimed</w:t>
      </w:r>
    </w:p>
    <w:p w14:paraId="7F8798A9" w14:textId="77777777" w:rsidR="007F3869" w:rsidRDefault="007F3869" w:rsidP="007F3869">
      <w:pPr>
        <w:pStyle w:val="ListParagraph"/>
        <w:numPr>
          <w:ilvl w:val="1"/>
          <w:numId w:val="13"/>
        </w:numPr>
        <w:jc w:val="both"/>
      </w:pPr>
      <w:r>
        <w:t>It is expected that appointed umpires / officials book their own travel arrangements and claim back after the event has been completed.</w:t>
      </w:r>
    </w:p>
    <w:p w14:paraId="0FF88C80" w14:textId="77777777" w:rsidR="007F3869" w:rsidRDefault="007F3869" w:rsidP="007F3869">
      <w:pPr>
        <w:pStyle w:val="ListParagraph"/>
        <w:numPr>
          <w:ilvl w:val="1"/>
          <w:numId w:val="13"/>
        </w:numPr>
        <w:jc w:val="both"/>
      </w:pPr>
      <w:r>
        <w:t>It is expected that appointed umpires / officials will make the most economic bookings available to them.</w:t>
      </w:r>
    </w:p>
    <w:p w14:paraId="4D32BCC7" w14:textId="77777777" w:rsidR="007F3869" w:rsidRDefault="007F3869" w:rsidP="007F3869">
      <w:pPr>
        <w:pStyle w:val="ListParagraph"/>
        <w:numPr>
          <w:ilvl w:val="1"/>
          <w:numId w:val="13"/>
        </w:numPr>
        <w:jc w:val="both"/>
      </w:pPr>
      <w:r>
        <w:t>Travel insurance cannot be claimed, members needing travel insurance should arrange their own.</w:t>
      </w:r>
    </w:p>
    <w:p w14:paraId="2E80F390" w14:textId="62191DC2" w:rsidR="007F3869" w:rsidRDefault="007F3869" w:rsidP="007F3869">
      <w:pPr>
        <w:pStyle w:val="ListParagraph"/>
        <w:numPr>
          <w:ilvl w:val="1"/>
          <w:numId w:val="13"/>
        </w:numPr>
        <w:jc w:val="both"/>
      </w:pPr>
      <w:r>
        <w:t>For games that are not played as part of a tournament e.g. U16, U18, U21 games in England, WHUA would cover all the costs of travel, including reasonable accommodation expenses and subsistence as outlined in point 1.</w:t>
      </w:r>
    </w:p>
    <w:p w14:paraId="789778C2" w14:textId="77777777" w:rsidR="007F3869" w:rsidRDefault="007F3869" w:rsidP="007F3869">
      <w:pPr>
        <w:pStyle w:val="ListParagraph"/>
        <w:ind w:left="1440"/>
        <w:jc w:val="both"/>
      </w:pPr>
    </w:p>
    <w:p w14:paraId="240CA9EA" w14:textId="6600B026" w:rsidR="007F3869" w:rsidRDefault="007F3869" w:rsidP="007F3869">
      <w:pPr>
        <w:pStyle w:val="ListParagraph"/>
        <w:numPr>
          <w:ilvl w:val="0"/>
          <w:numId w:val="13"/>
        </w:numPr>
        <w:jc w:val="both"/>
      </w:pPr>
      <w:r>
        <w:t>Executive committee members can claim as per point 1 for attending executive meetings or other-directed business.</w:t>
      </w:r>
    </w:p>
    <w:p w14:paraId="43727D71" w14:textId="77777777" w:rsidR="007F3869" w:rsidRDefault="007F3869" w:rsidP="007F3869">
      <w:pPr>
        <w:pStyle w:val="ListParagraph"/>
        <w:jc w:val="both"/>
      </w:pPr>
    </w:p>
    <w:p w14:paraId="14DF3E3E" w14:textId="1A433783" w:rsidR="007F3869" w:rsidRDefault="007F3869" w:rsidP="007F3869">
      <w:pPr>
        <w:pStyle w:val="ListParagraph"/>
        <w:numPr>
          <w:ilvl w:val="0"/>
          <w:numId w:val="13"/>
        </w:numPr>
        <w:jc w:val="both"/>
      </w:pPr>
      <w:r>
        <w:t>Claims must be made on the official form (available on the Hockey Wales Website) and will only be paid if accompanied by any relevant receipts.</w:t>
      </w:r>
    </w:p>
    <w:p w14:paraId="0C2912B1" w14:textId="77777777" w:rsidR="007F3869" w:rsidRDefault="007F3869" w:rsidP="007F3869">
      <w:pPr>
        <w:pStyle w:val="ListParagraph"/>
      </w:pPr>
    </w:p>
    <w:p w14:paraId="1FB55FCE" w14:textId="77777777" w:rsidR="007F3869" w:rsidRDefault="007F3869" w:rsidP="007F3869">
      <w:pPr>
        <w:pStyle w:val="ListParagraph"/>
        <w:jc w:val="both"/>
      </w:pPr>
    </w:p>
    <w:p w14:paraId="536387E5" w14:textId="3BE0D7BA" w:rsidR="007F3869" w:rsidRDefault="007F3869" w:rsidP="007F3869">
      <w:pPr>
        <w:pStyle w:val="ListParagraph"/>
        <w:numPr>
          <w:ilvl w:val="0"/>
          <w:numId w:val="13"/>
        </w:numPr>
        <w:jc w:val="both"/>
      </w:pPr>
      <w:r>
        <w:lastRenderedPageBreak/>
        <w:t>Regional Appointments - Any umpire / official who is appointed through either the North or South Region must claim through that region.</w:t>
      </w:r>
    </w:p>
    <w:p w14:paraId="3BC0D888" w14:textId="77777777" w:rsidR="007F3869" w:rsidRDefault="007F3869" w:rsidP="007F3869">
      <w:pPr>
        <w:pStyle w:val="ListParagraph"/>
        <w:jc w:val="both"/>
      </w:pPr>
    </w:p>
    <w:p w14:paraId="2C613EF3" w14:textId="7475331C" w:rsidR="007F3869" w:rsidRDefault="007F3869" w:rsidP="007F3869">
      <w:pPr>
        <w:pStyle w:val="ListParagraph"/>
        <w:numPr>
          <w:ilvl w:val="0"/>
          <w:numId w:val="13"/>
        </w:numPr>
        <w:jc w:val="both"/>
      </w:pPr>
      <w:r w:rsidRPr="005663DB">
        <w:t>Expenses will only be paid to members of the WHUA listed on the Hockey Wales Database.</w:t>
      </w:r>
    </w:p>
    <w:p w14:paraId="01EE0424" w14:textId="77777777" w:rsidR="00F32448" w:rsidRDefault="00F32448" w:rsidP="00F32448">
      <w:pPr>
        <w:pStyle w:val="ListParagraph"/>
      </w:pPr>
    </w:p>
    <w:p w14:paraId="4F36BC98" w14:textId="7FA43A0C" w:rsidR="00F32448" w:rsidRPr="005663DB" w:rsidRDefault="00F32448" w:rsidP="007F3869">
      <w:pPr>
        <w:pStyle w:val="ListParagraph"/>
        <w:numPr>
          <w:ilvl w:val="0"/>
          <w:numId w:val="13"/>
        </w:numPr>
        <w:jc w:val="both"/>
      </w:pPr>
      <w:r>
        <w:t xml:space="preserve">Expenses must be claimed </w:t>
      </w:r>
      <w:r w:rsidR="00484AFC">
        <w:t xml:space="preserve">by </w:t>
      </w:r>
      <w:r w:rsidR="00D8661C">
        <w:t>31</w:t>
      </w:r>
      <w:r w:rsidR="00D8661C" w:rsidRPr="00D8661C">
        <w:rPr>
          <w:vertAlign w:val="superscript"/>
        </w:rPr>
        <w:t>st</w:t>
      </w:r>
      <w:r w:rsidR="00D8661C">
        <w:t xml:space="preserve"> March</w:t>
      </w:r>
      <w:r w:rsidR="00C26410">
        <w:t xml:space="preserve"> each year</w:t>
      </w:r>
      <w:r w:rsidR="001262BC">
        <w:t>, any claims after this will not be accepted.</w:t>
      </w:r>
    </w:p>
    <w:p w14:paraId="29B8B331" w14:textId="77777777" w:rsidR="007F3869" w:rsidRPr="008C0B4F" w:rsidRDefault="007F3869" w:rsidP="007F3869">
      <w:pPr>
        <w:jc w:val="both"/>
        <w:rPr>
          <w:b/>
        </w:rPr>
      </w:pPr>
      <w:r>
        <w:rPr>
          <w:b/>
        </w:rPr>
        <w:t>Note 1</w:t>
      </w:r>
      <w:r w:rsidRPr="008C0B4F">
        <w:rPr>
          <w:b/>
        </w:rPr>
        <w:t>:</w:t>
      </w:r>
    </w:p>
    <w:p w14:paraId="2DBF1A25" w14:textId="77777777" w:rsidR="007F3869" w:rsidRPr="005663DB" w:rsidRDefault="007F3869" w:rsidP="007F3869">
      <w:pPr>
        <w:jc w:val="both"/>
      </w:pPr>
      <w:r>
        <w:t>Level 1 course costs for tutors and assessors are supported by Hockey Wales.  Mentoring costs from trainee umpires are support by Regional WHUA committees and therefore regional policies will apply and may vary.</w:t>
      </w:r>
    </w:p>
    <w:p w14:paraId="175AD1E3" w14:textId="77777777" w:rsidR="007F3869" w:rsidRPr="005663DB" w:rsidRDefault="007F3869" w:rsidP="007F3869">
      <w:pPr>
        <w:jc w:val="both"/>
        <w:rPr>
          <w:b/>
        </w:rPr>
      </w:pPr>
      <w:r w:rsidRPr="005663DB">
        <w:rPr>
          <w:b/>
        </w:rPr>
        <w:t>Note</w:t>
      </w:r>
      <w:r>
        <w:rPr>
          <w:b/>
        </w:rPr>
        <w:t xml:space="preserve"> 2</w:t>
      </w:r>
      <w:r w:rsidRPr="005663DB">
        <w:rPr>
          <w:b/>
        </w:rPr>
        <w:t>:</w:t>
      </w:r>
    </w:p>
    <w:p w14:paraId="1232C025" w14:textId="77777777" w:rsidR="007F3869" w:rsidRPr="005663DB" w:rsidRDefault="007F3869" w:rsidP="007F3869">
      <w:pPr>
        <w:jc w:val="both"/>
      </w:pPr>
      <w:r w:rsidRPr="005663DB">
        <w:t>Current tournaments / Events covered by National WHUA appointments:</w:t>
      </w:r>
    </w:p>
    <w:p w14:paraId="4001F447" w14:textId="77777777" w:rsidR="007F3869" w:rsidRPr="005663DB" w:rsidRDefault="007F3869" w:rsidP="007F3869">
      <w:pPr>
        <w:jc w:val="both"/>
      </w:pPr>
      <w:r w:rsidRPr="005663DB">
        <w:t>Internationals (at any level outside those appointed by EHF/FIH), National youth and adult finals including Masters, Indoor and youth clubs and schools</w:t>
      </w:r>
      <w:r>
        <w:t xml:space="preserve">, National </w:t>
      </w:r>
      <w:proofErr w:type="gramStart"/>
      <w:r>
        <w:t>adults</w:t>
      </w:r>
      <w:proofErr w:type="gramEnd"/>
      <w:r>
        <w:t xml:space="preserve"> semi-finals</w:t>
      </w:r>
      <w:r w:rsidRPr="005663DB">
        <w:t xml:space="preserve"> plus any other event that the WHUA would deem a suitable development opportunity.  </w:t>
      </w:r>
    </w:p>
    <w:p w14:paraId="26052169" w14:textId="77777777" w:rsidR="007F3869" w:rsidRPr="005663DB" w:rsidRDefault="007F3869" w:rsidP="007F3869">
      <w:pPr>
        <w:jc w:val="both"/>
      </w:pPr>
      <w:r w:rsidRPr="005663DB">
        <w:t>The Regional Committees are responsible for appointments to any event not listed above.</w:t>
      </w:r>
    </w:p>
    <w:p w14:paraId="1E2C0DDC" w14:textId="5BF9C833" w:rsidR="0030786E" w:rsidRPr="0094286D" w:rsidRDefault="0030786E" w:rsidP="007F3869">
      <w:pPr>
        <w:pStyle w:val="ListParagraph"/>
        <w:ind w:left="360"/>
        <w:jc w:val="both"/>
        <w:rPr>
          <w:sz w:val="24"/>
        </w:rPr>
      </w:pPr>
    </w:p>
    <w:sectPr w:rsidR="0030786E" w:rsidRPr="0094286D" w:rsidSect="00111ABB">
      <w:headerReference w:type="default" r:id="rId12"/>
      <w:footerReference w:type="default" r:id="rId13"/>
      <w:type w:val="continuous"/>
      <w:pgSz w:w="11906" w:h="16838" w:code="9"/>
      <w:pgMar w:top="2694" w:right="851" w:bottom="1134"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10BE5E" w14:textId="77777777" w:rsidR="00AE5BEA" w:rsidRDefault="00AE5BEA" w:rsidP="00133C22">
      <w:pPr>
        <w:spacing w:after="0" w:line="240" w:lineRule="auto"/>
      </w:pPr>
      <w:r>
        <w:separator/>
      </w:r>
    </w:p>
  </w:endnote>
  <w:endnote w:type="continuationSeparator" w:id="0">
    <w:p w14:paraId="6FD51196" w14:textId="77777777" w:rsidR="00AE5BEA" w:rsidRDefault="00AE5BEA" w:rsidP="0013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405550"/>
      <w:docPartObj>
        <w:docPartGallery w:val="Page Numbers (Bottom of Page)"/>
        <w:docPartUnique/>
      </w:docPartObj>
    </w:sdtPr>
    <w:sdtEndPr/>
    <w:sdtContent>
      <w:sdt>
        <w:sdtPr>
          <w:id w:val="790163318"/>
          <w:docPartObj>
            <w:docPartGallery w:val="Page Numbers (Top of Page)"/>
            <w:docPartUnique/>
          </w:docPartObj>
        </w:sdtPr>
        <w:sdtEndPr/>
        <w:sdtContent>
          <w:p w14:paraId="6F47A82E" w14:textId="0DCDA02D" w:rsidR="00F13A18" w:rsidRDefault="00116BB6">
            <w:pPr>
              <w:pStyle w:val="Footer"/>
              <w:jc w:val="center"/>
            </w:pPr>
          </w:p>
        </w:sdtContent>
      </w:sdt>
    </w:sdtContent>
  </w:sdt>
  <w:p w14:paraId="18B085AB" w14:textId="44EEC86F" w:rsidR="00133C22" w:rsidRDefault="00116BB6" w:rsidP="00133C22">
    <w:pPr>
      <w:pStyle w:val="Footer"/>
      <w:tabs>
        <w:tab w:val="clear" w:pos="4513"/>
        <w:tab w:val="clear" w:pos="9026"/>
        <w:tab w:val="left" w:pos="1480"/>
      </w:tabs>
    </w:pPr>
    <w:sdt>
      <w:sdtPr>
        <w:id w:val="-586531545"/>
        <w:docPartObj>
          <w:docPartGallery w:val="Page Numbers (Top of Page)"/>
          <w:docPartUnique/>
        </w:docPartObj>
      </w:sdtPr>
      <w:sdtEndP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5562774"/>
      <w:docPartObj>
        <w:docPartGallery w:val="Page Numbers (Bottom of Page)"/>
        <w:docPartUnique/>
      </w:docPartObj>
    </w:sdtPr>
    <w:sdtEndPr/>
    <w:sdtContent>
      <w:sdt>
        <w:sdtPr>
          <w:id w:val="1728636285"/>
          <w:docPartObj>
            <w:docPartGallery w:val="Page Numbers (Top of Page)"/>
            <w:docPartUnique/>
          </w:docPartObj>
        </w:sdtPr>
        <w:sdtEndPr/>
        <w:sdtContent>
          <w:p w14:paraId="53E4FDF8" w14:textId="1BF697C2" w:rsidR="002541E1" w:rsidRDefault="002541E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11637D" w14:textId="77777777" w:rsidR="007D2579" w:rsidRDefault="007D25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976858"/>
      <w:docPartObj>
        <w:docPartGallery w:val="Page Numbers (Bottom of Page)"/>
        <w:docPartUnique/>
      </w:docPartObj>
    </w:sdtPr>
    <w:sdtEndPr/>
    <w:sdtContent>
      <w:p w14:paraId="2AC9D6EA" w14:textId="5E2FD9D9" w:rsidR="004D3E94" w:rsidRDefault="004D3E94" w:rsidP="00980576">
        <w:pPr>
          <w:pStyle w:val="Footer"/>
          <w:ind w:left="4127" w:firstLine="4513"/>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49B43" w14:textId="77777777" w:rsidR="00AE5BEA" w:rsidRDefault="00AE5BEA" w:rsidP="00133C22">
      <w:pPr>
        <w:spacing w:after="0" w:line="240" w:lineRule="auto"/>
      </w:pPr>
      <w:r>
        <w:separator/>
      </w:r>
    </w:p>
  </w:footnote>
  <w:footnote w:type="continuationSeparator" w:id="0">
    <w:p w14:paraId="770A3A77" w14:textId="77777777" w:rsidR="00AE5BEA" w:rsidRDefault="00AE5BEA" w:rsidP="00133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1BE7" w14:textId="07E19E7A" w:rsidR="00133C22" w:rsidRDefault="00133C22">
    <w:pPr>
      <w:pStyle w:val="Header"/>
      <w:rPr>
        <w:b/>
        <w:sz w:val="28"/>
      </w:rPr>
    </w:pPr>
  </w:p>
  <w:p w14:paraId="45713DFE" w14:textId="0A98181C" w:rsidR="00133C22" w:rsidRPr="00133C22" w:rsidRDefault="00133C22">
    <w:pPr>
      <w:pStyle w:val="Head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4C90D" w14:textId="77777777" w:rsidR="007D2579" w:rsidRDefault="007D2579">
    <w:pPr>
      <w:pStyle w:val="Header"/>
      <w:rPr>
        <w:b/>
        <w:sz w:val="28"/>
      </w:rPr>
    </w:pPr>
    <w:r>
      <w:rPr>
        <w:b/>
        <w:noProof/>
        <w:sz w:val="28"/>
        <w:lang w:eastAsia="en-GB"/>
      </w:rPr>
      <w:drawing>
        <wp:anchor distT="0" distB="0" distL="114300" distR="114300" simplePos="0" relativeHeight="251660288" behindDoc="0" locked="0" layoutInCell="1" allowOverlap="1" wp14:anchorId="0652ED8F" wp14:editId="36703B1A">
          <wp:simplePos x="0" y="0"/>
          <wp:positionH relativeFrom="column">
            <wp:posOffset>4610100</wp:posOffset>
          </wp:positionH>
          <wp:positionV relativeFrom="paragraph">
            <wp:posOffset>-133985</wp:posOffset>
          </wp:positionV>
          <wp:extent cx="1479550" cy="1257040"/>
          <wp:effectExtent l="0" t="0" r="6350" b="635"/>
          <wp:wrapThrough wrapText="bothSides">
            <wp:wrapPolygon edited="0">
              <wp:start x="0" y="0"/>
              <wp:lineTo x="0" y="21283"/>
              <wp:lineTo x="21415" y="21283"/>
              <wp:lineTo x="21415"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ua_pos.jpg"/>
                  <pic:cNvPicPr/>
                </pic:nvPicPr>
                <pic:blipFill rotWithShape="1">
                  <a:blip r:embed="rId1">
                    <a:extLst>
                      <a:ext uri="{28A0092B-C50C-407E-A947-70E740481C1C}">
                        <a14:useLocalDpi xmlns:a14="http://schemas.microsoft.com/office/drawing/2010/main" val="0"/>
                      </a:ext>
                    </a:extLst>
                  </a:blip>
                  <a:srcRect l="20496" t="15032" r="20552" b="13889"/>
                  <a:stretch/>
                </pic:blipFill>
                <pic:spPr bwMode="auto">
                  <a:xfrm>
                    <a:off x="0" y="0"/>
                    <a:ext cx="1479550" cy="1257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1D26120" w14:textId="673AB6A4" w:rsidR="0084159D" w:rsidRPr="0084159D" w:rsidRDefault="007F3869" w:rsidP="0084159D">
    <w:pPr>
      <w:pStyle w:val="ListParagraph"/>
      <w:ind w:left="360"/>
      <w:rPr>
        <w:rFonts w:cstheme="minorHAnsi"/>
        <w:b/>
        <w:sz w:val="28"/>
        <w:szCs w:val="19"/>
      </w:rPr>
    </w:pPr>
    <w:r>
      <w:rPr>
        <w:rFonts w:cstheme="minorHAnsi"/>
        <w:b/>
        <w:sz w:val="28"/>
        <w:szCs w:val="19"/>
      </w:rPr>
      <w:t>Expenses Policy</w:t>
    </w:r>
  </w:p>
  <w:p w14:paraId="0741E74B" w14:textId="76840575" w:rsidR="007D2579" w:rsidRPr="00133C22" w:rsidRDefault="007D2579" w:rsidP="0084159D">
    <w:pPr>
      <w:pStyle w:val="Head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09E"/>
    <w:multiLevelType w:val="hybridMultilevel"/>
    <w:tmpl w:val="97725E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7612F"/>
    <w:multiLevelType w:val="hybridMultilevel"/>
    <w:tmpl w:val="4476D2AC"/>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 w15:restartNumberingAfterBreak="0">
    <w:nsid w:val="0A242957"/>
    <w:multiLevelType w:val="hybridMultilevel"/>
    <w:tmpl w:val="7642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2209E7"/>
    <w:multiLevelType w:val="hybridMultilevel"/>
    <w:tmpl w:val="7A324C7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CEC12F0"/>
    <w:multiLevelType w:val="hybridMultilevel"/>
    <w:tmpl w:val="697C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074BF5"/>
    <w:multiLevelType w:val="multilevel"/>
    <w:tmpl w:val="6C0C930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lowerLetter"/>
      <w:lvlText w:val="%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8A00F07"/>
    <w:multiLevelType w:val="hybridMultilevel"/>
    <w:tmpl w:val="6172C3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7" w15:restartNumberingAfterBreak="0">
    <w:nsid w:val="519A4DD0"/>
    <w:multiLevelType w:val="hybridMultilevel"/>
    <w:tmpl w:val="D5D27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073CC"/>
    <w:multiLevelType w:val="hybridMultilevel"/>
    <w:tmpl w:val="C7D2707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5E2E6305"/>
    <w:multiLevelType w:val="hybridMultilevel"/>
    <w:tmpl w:val="E76463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E0019"/>
    <w:multiLevelType w:val="hybridMultilevel"/>
    <w:tmpl w:val="E4AC5B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A25622F"/>
    <w:multiLevelType w:val="hybridMultilevel"/>
    <w:tmpl w:val="05944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0329A"/>
    <w:multiLevelType w:val="hybridMultilevel"/>
    <w:tmpl w:val="64A0E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2"/>
  </w:num>
  <w:num w:numId="5">
    <w:abstractNumId w:val="1"/>
  </w:num>
  <w:num w:numId="6">
    <w:abstractNumId w:val="4"/>
  </w:num>
  <w:num w:numId="7">
    <w:abstractNumId w:val="9"/>
  </w:num>
  <w:num w:numId="8">
    <w:abstractNumId w:val="12"/>
  </w:num>
  <w:num w:numId="9">
    <w:abstractNumId w:val="10"/>
  </w:num>
  <w:num w:numId="10">
    <w:abstractNumId w:val="5"/>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86E"/>
    <w:rsid w:val="00014327"/>
    <w:rsid w:val="00021317"/>
    <w:rsid w:val="0002136C"/>
    <w:rsid w:val="000302FC"/>
    <w:rsid w:val="00061653"/>
    <w:rsid w:val="000A796C"/>
    <w:rsid w:val="00111ABB"/>
    <w:rsid w:val="00116BB6"/>
    <w:rsid w:val="00121E7F"/>
    <w:rsid w:val="001262BC"/>
    <w:rsid w:val="00133C22"/>
    <w:rsid w:val="001419E8"/>
    <w:rsid w:val="001550FE"/>
    <w:rsid w:val="001834AD"/>
    <w:rsid w:val="001C4282"/>
    <w:rsid w:val="002541E1"/>
    <w:rsid w:val="002B70C7"/>
    <w:rsid w:val="002C0C0E"/>
    <w:rsid w:val="0030786E"/>
    <w:rsid w:val="003C50A0"/>
    <w:rsid w:val="003E1A83"/>
    <w:rsid w:val="003E28CF"/>
    <w:rsid w:val="00464EFC"/>
    <w:rsid w:val="00484AFC"/>
    <w:rsid w:val="004A4546"/>
    <w:rsid w:val="004D3E94"/>
    <w:rsid w:val="004F20FF"/>
    <w:rsid w:val="006F0094"/>
    <w:rsid w:val="006F39A0"/>
    <w:rsid w:val="006F51BE"/>
    <w:rsid w:val="00706D47"/>
    <w:rsid w:val="007D2579"/>
    <w:rsid w:val="007F3869"/>
    <w:rsid w:val="0081672F"/>
    <w:rsid w:val="00826EFF"/>
    <w:rsid w:val="0084159D"/>
    <w:rsid w:val="008C7BE3"/>
    <w:rsid w:val="00930368"/>
    <w:rsid w:val="0094286D"/>
    <w:rsid w:val="0094448B"/>
    <w:rsid w:val="00980576"/>
    <w:rsid w:val="009D5756"/>
    <w:rsid w:val="009D5795"/>
    <w:rsid w:val="009E2234"/>
    <w:rsid w:val="00A3446D"/>
    <w:rsid w:val="00A45FC2"/>
    <w:rsid w:val="00AE5BEA"/>
    <w:rsid w:val="00B63489"/>
    <w:rsid w:val="00BE6479"/>
    <w:rsid w:val="00BF4A1D"/>
    <w:rsid w:val="00C26410"/>
    <w:rsid w:val="00D574BC"/>
    <w:rsid w:val="00D719E3"/>
    <w:rsid w:val="00D8661C"/>
    <w:rsid w:val="00DA5170"/>
    <w:rsid w:val="00E12EEE"/>
    <w:rsid w:val="00E75805"/>
    <w:rsid w:val="00E94DFE"/>
    <w:rsid w:val="00ED4579"/>
    <w:rsid w:val="00EF34B1"/>
    <w:rsid w:val="00F01986"/>
    <w:rsid w:val="00F13A18"/>
    <w:rsid w:val="00F32448"/>
    <w:rsid w:val="00F8161B"/>
    <w:rsid w:val="00F842D2"/>
    <w:rsid w:val="00FA4813"/>
    <w:rsid w:val="00FB28BA"/>
    <w:rsid w:val="00FC0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2FAB0B"/>
  <w15:chartTrackingRefBased/>
  <w15:docId w15:val="{89686C18-DC76-4A47-AC2C-598ED5ECD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6EFF"/>
    <w:pPr>
      <w:ind w:left="720"/>
      <w:contextualSpacing/>
    </w:pPr>
  </w:style>
  <w:style w:type="paragraph" w:styleId="Header">
    <w:name w:val="header"/>
    <w:basedOn w:val="Normal"/>
    <w:link w:val="HeaderChar"/>
    <w:uiPriority w:val="99"/>
    <w:unhideWhenUsed/>
    <w:rsid w:val="00133C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C22"/>
  </w:style>
  <w:style w:type="paragraph" w:styleId="Footer">
    <w:name w:val="footer"/>
    <w:basedOn w:val="Normal"/>
    <w:link w:val="FooterChar"/>
    <w:uiPriority w:val="99"/>
    <w:unhideWhenUsed/>
    <w:rsid w:val="00133C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C22"/>
  </w:style>
  <w:style w:type="table" w:styleId="TableGrid">
    <w:name w:val="Table Grid"/>
    <w:basedOn w:val="TableNormal"/>
    <w:uiPriority w:val="39"/>
    <w:rsid w:val="00133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02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ABB56-26AA-4538-96D5-691B689DB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Taylor</dc:creator>
  <cp:keywords/>
  <dc:description/>
  <cp:lastModifiedBy>John Taylor</cp:lastModifiedBy>
  <cp:revision>9</cp:revision>
  <dcterms:created xsi:type="dcterms:W3CDTF">2018-08-21T15:22:00Z</dcterms:created>
  <dcterms:modified xsi:type="dcterms:W3CDTF">2019-03-01T12:48:00Z</dcterms:modified>
</cp:coreProperties>
</file>